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trudniej będzie odsprzedać diesla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autobaza.pl obrazują trend, od którego nie ma odwrotu. Podaż pojazdów z silnikiem diesla znowu spadła i obecnie utrzymuje się na poziomie 44%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Diesel powoli staje się coraz mniej popularny i co do tego nie ma wątpliwości. Obrazują to dane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podsumowujące I półrocze 2020 na rynku pojazdów używanych.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gdy w zeszłym roku, w I kwartale jego podaż wynosiła 48,10%, to obecnie utrzymuje się na poziomie 44% wszystkich ofert.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1px; height:5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pojazdów z silnikiem benzynowym kształtuje się obecnie na poziomie 48,81%, co w stosunku do I kwartału 2019 jest niewielkim wzrostem z poziomu 45,40%.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Podaż pojazdów z silnikami benzyna + LPG, utrzymuje się na tym samym poziomie co na początku 2019 roku i wynosi 5,8%.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oferowanych na rynku wtórnym aut hybrydowych wzrosła dwa razy, a elektrycznych 2,5 razy i wynosi odpowiednio 1,16% i 0,18%.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prawda ich udział w rynku jest w dalszym ciągu znikomy, jednak widać wyraźnie wzrost ofert w tych dwóch segmentach, co może świadczyć o wzroście zainteresowania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popularyzowania się tych dwóch typów pojazdów, ich udział na rynku wtórnym będzie wzrastał. Pierwszy widoczny skok prawdopodobnie nastąpi za 2 lata, kiedy będzie można sprzedawać pojazdy elektryczne zakupione ze wsparciem z Funduszu Niskoemisyjnego Transportu.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2px; height:50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Udział szkód dla niektórych marek przekroczył ponad 40%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marek pojazdów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największym odsetkiem odnotowanych szkód należą SKODA - aż 47%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pojazdów oferowanych na sprzedaż na rynku wtórnym miało odnotowaną szkodę,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TOYOTA - 44% i MINI - 42%.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TOP 5 najbardziej popularnych marek wystawianych na sprzedaż, do których należą: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</w:t>
      </w:r>
      <w:r>
        <w:rPr>
          <w:rFonts w:ascii="calibri" w:hAnsi="calibri" w:eastAsia="calibri" w:cs="calibri"/>
          <w:sz w:val="24"/>
          <w:szCs w:val="24"/>
        </w:rPr>
        <w:t xml:space="preserve">9,45%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</w:t>
      </w:r>
      <w:r>
        <w:rPr>
          <w:rFonts w:ascii="calibri" w:hAnsi="calibri" w:eastAsia="calibri" w:cs="calibri"/>
          <w:sz w:val="24"/>
          <w:szCs w:val="24"/>
        </w:rPr>
        <w:t xml:space="preserve">8,17%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</w:t>
      </w:r>
      <w:r>
        <w:rPr>
          <w:rFonts w:ascii="calibri" w:hAnsi="calibri" w:eastAsia="calibri" w:cs="calibri"/>
          <w:sz w:val="24"/>
          <w:szCs w:val="24"/>
        </w:rPr>
        <w:t xml:space="preserve">7,42%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AUDI - </w:t>
      </w:r>
      <w:r>
        <w:rPr>
          <w:rFonts w:ascii="calibri" w:hAnsi="calibri" w:eastAsia="calibri" w:cs="calibri"/>
          <w:sz w:val="24"/>
          <w:szCs w:val="24"/>
        </w:rPr>
        <w:t xml:space="preserve">6,87%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RENAULT - </w:t>
      </w:r>
      <w:r>
        <w:rPr>
          <w:rFonts w:ascii="calibri" w:hAnsi="calibri" w:eastAsia="calibri" w:cs="calibri"/>
          <w:sz w:val="24"/>
          <w:szCs w:val="24"/>
        </w:rPr>
        <w:t xml:space="preserve">6,81%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odsetek szkód oscyluje pomiędzy 32 - 36% i wynosi odpowiednio: 34% dla pojazdów marki VOLKSWAGEN; 32% dla pojazdów marki OPEL; 36% dla marki FORD, 33% dla AUDI i 35% dla pojazdów marki RENAULT.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85px; height:51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Ogólnie szkody dotyczą już 36% wszystkich oferowanych na sprzedaż aut.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Wg. danych autobaza.pl największy udział w podaży osobowych aut na rynku wtórnym mają 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Opel Astra, Audi A4 i Volkswagen Golf.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pojazdów o pojemności do 2.0 l wciąż największa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pojazdów o pojemności powyżej 2 l. spadł o 5 pkt procentowych. Na koniec 2019 roku ich udział w ofertach sprzedaży wynosił 26,57%, natomiast obecnie wynosi 21,12%.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w segmencie pojazdów z większą pojemnością przełożył się na większe ilości pojazdów z mniejszą pojemnością silnika. W przedziale 100 - 999 cm3. odnotowano wzrost o 1 pkt procentowy, a w najbardziej popularnym zakresie, tj. 1000 - 1999 cm3 nastąpił wzrost o 4 pkt. procentowe.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Widać oczekiwania i możliwości finansowe klientów uległy zmianie w wyniku pandemii, co obrazuje spadek udziału pojazdów o największej pojemności silnika. Są to kolejne dane autobaza.pl wskazujące na wzrost zainteresowania na rynku wtórnym tańszymi pojazdami.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775px; height:50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Zwyżka ofert na pojazdy z przebiegiem do 100 tys. km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ofert na auta używane znajdziemy z przebiegiem między 200 a 300 tys. km i powyżej 300 tys. km. Ich udział w rynku wynosi odpowiednio 31,99% i 29,19%.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kwartale 2019 roku udział ofert na auta z przebiegiem 200 - 300 tys. km kształtował się na poziomie 35,54%. Dla pojazdów z przebiegiem powyżej 300 tys. km było to 27,82%. Czyli obecnie nieznacznie wzrósł.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“Porównując dane do I kwartału 2019 r - jeszcze sprzed obowiązywania przepisu o karze więzienia za cofanie licznika, nie nastąpił gwałtowny wzrost ofert pojazdów z większym przebiegiem</w:t>
      </w:r>
      <w:r>
        <w:rPr>
          <w:rFonts w:ascii="calibri" w:hAnsi="calibri" w:eastAsia="calibri" w:cs="calibri"/>
          <w:sz w:val="24"/>
          <w:szCs w:val="24"/>
        </w:rPr>
        <w:t xml:space="preserve">.” - mówi Marek Trofimiuk ekspert autobaza.pl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5px; height:4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można zauważyć spadek ofert na pojazdy z przebiegiem 150 - 200 tys. km. Z 28,46% w I kw. 2019 ich udział spadł do 24,81% obecnie. Być może jest to efekt wprowadzenia kary za cofanie licznika w Polsce i kontroli drogowych z odczytem stanu licznika? Czyżby spowodowały one przeniesienie tych aut do ofert z przebiegiem powyżej 300 tys. km?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Zauważalny jest wzrost ofert na pojazdy z przebiegiem do 100 tys. km. Ich łączny wzrost wynosi prawie 5 pkt. procentowych. Prawdopodobnie to efekt pojawienia się na rynku ofert na auta w leasingu, których właściciele chcieli się pozbyć w wyniku pandemii.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dotyczą I półrocza 2020 r. rynku pojazdów używanych i zostały opracowane na podstawie informacji posiadanych przez portal Autobaza.pl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Autobaza.pl to wiarygodne źródło informacji o pojazdach używanych.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2024-04-20T12:03:42+02:00</dcterms:created>
  <dcterms:modified xsi:type="dcterms:W3CDTF">2024-04-20T12:03:42+02:00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