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Moto News: Podsumowanie I kwartału 2019 na rynku pojazdów używanych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Co trzeci używany pojazd przeznaczony na sprzedaż miał odnotowaną szkodę! Historia pojazdu nie pozostawia złudzeń.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 danych portalu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Autobaza.pl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 wynika, że wśród najbardziej popularnych marek oferowanych na sprzedaż w pierwszym kwartale 2019 r. co trzeci pojazd miał odnotowaną szkodę.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“Dotyczy to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34% pojazdów marki AUDI i OPEL; 35% pojazdów marki VOLKSWAGEN; 37% pojazdów RENAULT i 38% pojazdów marki Ford” - </w:t>
      </w:r>
      <w:r>
        <w:rPr>
          <w:rFonts w:ascii="calibri" w:hAnsi="calibri" w:eastAsia="calibri" w:cs="calibri"/>
          <w:sz w:val="24"/>
          <w:szCs w:val="24"/>
        </w:rPr>
        <w:t xml:space="preserve">mówi Piotr Korab ekspert portalu Autobaza.pl</w:t>
      </w:r>
    </w:p>
    <w:p>
      <w:pPr>
        <w:spacing w:before="0" w:after="300"/>
      </w:pPr>
    </w:p>
    <w:p/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 TOP 5 najchętniej wystawianych na sprzedaż marek na rynku pojazdów używanych w pierwszym kwartale 2019 r. należą:</w:t>
      </w:r>
    </w:p>
    <w:p>
      <w:pPr>
        <w:spacing w:before="0" w:after="300"/>
      </w:pPr>
    </w:p>
    <w:p>
      <w:pPr>
        <w:spacing w:before="200" w:after="0"/>
      </w:pPr>
      <w:r>
        <w:rPr>
          <w:rFonts w:ascii="calibri" w:hAnsi="calibri" w:eastAsia="calibri" w:cs="calibri"/>
          <w:sz w:val="24"/>
          <w:szCs w:val="24"/>
        </w:rPr>
        <w:t xml:space="preserve">1. </w:t>
      </w:r>
      <w:r>
        <w:rPr>
          <w:rFonts w:ascii="calibri" w:hAnsi="calibri" w:eastAsia="calibri" w:cs="calibri"/>
          <w:sz w:val="24"/>
          <w:szCs w:val="24"/>
        </w:rPr>
        <w:t xml:space="preserve">Volkswagen - 10,28% 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2. </w:t>
      </w:r>
      <w:r>
        <w:rPr>
          <w:rFonts w:ascii="calibri" w:hAnsi="calibri" w:eastAsia="calibri" w:cs="calibri"/>
          <w:sz w:val="24"/>
          <w:szCs w:val="24"/>
        </w:rPr>
        <w:t xml:space="preserve">Opel - 8,62%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3. </w:t>
      </w:r>
      <w:r>
        <w:rPr>
          <w:rFonts w:ascii="calibri" w:hAnsi="calibri" w:eastAsia="calibri" w:cs="calibri"/>
          <w:sz w:val="24"/>
          <w:szCs w:val="24"/>
        </w:rPr>
        <w:t xml:space="preserve">Ford - 7,29%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4. </w:t>
      </w:r>
      <w:r>
        <w:rPr>
          <w:rFonts w:ascii="calibri" w:hAnsi="calibri" w:eastAsia="calibri" w:cs="calibri"/>
          <w:sz w:val="24"/>
          <w:szCs w:val="24"/>
        </w:rPr>
        <w:t xml:space="preserve">Renault - 7,15%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5. </w:t>
      </w:r>
      <w:r>
        <w:rPr>
          <w:rFonts w:ascii="calibri" w:hAnsi="calibri" w:eastAsia="calibri" w:cs="calibri"/>
          <w:sz w:val="24"/>
          <w:szCs w:val="24"/>
        </w:rPr>
        <w:t xml:space="preserve">Audi - 6,95%</w:t>
      </w:r>
    </w:p>
    <w:p/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Volkswagen Passat i Golf</w:t>
      </w:r>
      <w:r>
        <w:rPr>
          <w:rFonts w:ascii="calibri" w:hAnsi="calibri" w:eastAsia="calibri" w:cs="calibri"/>
          <w:sz w:val="24"/>
          <w:szCs w:val="24"/>
        </w:rPr>
        <w:t xml:space="preserve"> królują wśród najczęściej wystawianych na sprzedaż modeli samochodów. Na drugim miejscu jest </w:t>
      </w:r>
      <w:r>
        <w:rPr>
          <w:rFonts w:ascii="calibri" w:hAnsi="calibri" w:eastAsia="calibri" w:cs="calibri"/>
          <w:sz w:val="24"/>
          <w:szCs w:val="24"/>
          <w:b/>
        </w:rPr>
        <w:t xml:space="preserve">Opel Astra</w:t>
      </w:r>
      <w:r>
        <w:rPr>
          <w:rFonts w:ascii="calibri" w:hAnsi="calibri" w:eastAsia="calibri" w:cs="calibri"/>
          <w:sz w:val="24"/>
          <w:szCs w:val="24"/>
        </w:rPr>
        <w:t xml:space="preserve">. Trzecie miejsce należy do </w:t>
      </w:r>
      <w:r>
        <w:rPr>
          <w:rFonts w:ascii="calibri" w:hAnsi="calibri" w:eastAsia="calibri" w:cs="calibri"/>
          <w:sz w:val="24"/>
          <w:szCs w:val="24"/>
          <w:b/>
        </w:rPr>
        <w:t xml:space="preserve">Forda Focus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przedziale cen 10 001 PLN - 25 000 PLN znajdziesz najwięcej ofert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Pierwszy kwartał 2019 bez niespodzianek.</w:t>
      </w:r>
      <w:r>
        <w:rPr>
          <w:rFonts w:ascii="calibri" w:hAnsi="calibri" w:eastAsia="calibri" w:cs="calibri"/>
          <w:sz w:val="24"/>
          <w:szCs w:val="24"/>
          <w:b/>
        </w:rPr>
        <w:t xml:space="preserve"> Największa jest podaż pojazdów z przedziału cen 10 001 PLN - 25 000 PLN.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TOP 5 najchętniej wystawianych na sprzedaż marek w ramach przedziału cenowego 10 001 PLN - 25 000 PLN to:</w:t>
      </w:r>
    </w:p>
    <w:p>
      <w:pPr>
        <w:spacing w:before="0" w:after="300"/>
      </w:pPr>
    </w:p>
    <w:p>
      <w:pPr>
        <w:spacing w:before="200" w:after="0"/>
      </w:pPr>
      <w:r>
        <w:rPr>
          <w:rFonts w:ascii="calibri" w:hAnsi="calibri" w:eastAsia="calibri" w:cs="calibri"/>
          <w:sz w:val="24"/>
          <w:szCs w:val="24"/>
        </w:rPr>
        <w:t xml:space="preserve">1. </w:t>
      </w:r>
      <w:r>
        <w:rPr>
          <w:rFonts w:ascii="calibri" w:hAnsi="calibri" w:eastAsia="calibri" w:cs="calibri"/>
          <w:sz w:val="24"/>
          <w:szCs w:val="24"/>
        </w:rPr>
        <w:t xml:space="preserve">VOLKSWAGEN - 10,11 % 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2. </w:t>
      </w:r>
      <w:r>
        <w:rPr>
          <w:rFonts w:ascii="calibri" w:hAnsi="calibri" w:eastAsia="calibri" w:cs="calibri"/>
          <w:sz w:val="24"/>
          <w:szCs w:val="24"/>
        </w:rPr>
        <w:t xml:space="preserve">OPEL - 10,05 % 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3. </w:t>
      </w:r>
      <w:r>
        <w:rPr>
          <w:rFonts w:ascii="calibri" w:hAnsi="calibri" w:eastAsia="calibri" w:cs="calibri"/>
          <w:sz w:val="24"/>
          <w:szCs w:val="24"/>
        </w:rPr>
        <w:t xml:space="preserve">FORD - 7,41 % 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4. </w:t>
      </w:r>
      <w:r>
        <w:rPr>
          <w:rFonts w:ascii="calibri" w:hAnsi="calibri" w:eastAsia="calibri" w:cs="calibri"/>
          <w:sz w:val="24"/>
          <w:szCs w:val="24"/>
        </w:rPr>
        <w:t xml:space="preserve">RENAULT - 6,93 %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5. </w:t>
      </w:r>
      <w:r>
        <w:rPr>
          <w:rFonts w:ascii="calibri" w:hAnsi="calibri" w:eastAsia="calibri" w:cs="calibri"/>
          <w:sz w:val="24"/>
          <w:szCs w:val="24"/>
        </w:rPr>
        <w:t xml:space="preserve">AUDI - 6,52 % </w:t>
      </w:r>
    </w:p>
    <w:p/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Marki te mają łącznie </w:t>
      </w:r>
      <w:r>
        <w:rPr>
          <w:rFonts w:ascii="calibri" w:hAnsi="calibri" w:eastAsia="calibri" w:cs="calibri"/>
          <w:sz w:val="24"/>
          <w:szCs w:val="24"/>
          <w:b/>
        </w:rPr>
        <w:t xml:space="preserve">41,03</w:t>
      </w:r>
      <w:r>
        <w:rPr>
          <w:rFonts w:ascii="calibri" w:hAnsi="calibri" w:eastAsia="calibri" w:cs="calibri"/>
          <w:sz w:val="24"/>
          <w:szCs w:val="24"/>
        </w:rPr>
        <w:t xml:space="preserve">% udziału w rynku pojazdów o wartości 10 001 PLN - 25 000 PLN.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Pojazdy ekologiczne daleko w tyle za pojazdami z silnikiem spalinowym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dobie dbania o jakość powietrza i ostrzegania przed szkodliwymi dla zdrowia pyłami zawieszonymi, nadal na rynku pojazdów używanych dominują te z silnikami spalinowymi.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pierwszym kwartale 2019 r. diesel wygrywa z silnikami benzynowymi, choć liczba ofert sprzedaży tych ostatnich jest tylko o niecałe 3 pkt. procentowe mniejsza.</w:t>
      </w:r>
      <w:r>
        <w:rPr>
          <w:rFonts w:ascii="calibri" w:hAnsi="calibri" w:eastAsia="calibri" w:cs="calibri"/>
          <w:sz w:val="24"/>
          <w:szCs w:val="24"/>
          <w:b/>
        </w:rPr>
        <w:t xml:space="preserve"> Diesel 48,15%, benzyna 45,45%. </w:t>
      </w:r>
      <w:r>
        <w:rPr>
          <w:rFonts w:ascii="calibri" w:hAnsi="calibri" w:eastAsia="calibri" w:cs="calibri"/>
          <w:sz w:val="24"/>
          <w:szCs w:val="24"/>
        </w:rPr>
        <w:t xml:space="preserve">Kolejne trzecie miejsce należy do pojazdów typu </w:t>
      </w:r>
      <w:r>
        <w:rPr>
          <w:rFonts w:ascii="calibri" w:hAnsi="calibri" w:eastAsia="calibri" w:cs="calibri"/>
          <w:sz w:val="24"/>
          <w:szCs w:val="24"/>
          <w:b/>
        </w:rPr>
        <w:t xml:space="preserve">benzyna + LPG z wynikiem 5,81%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tym tle samochody ekologiczne - hybrydy oraz elektryczne wypadają bardzo słabo. Wśród wszystkich ofert sprzedaży ich udział wynosi tylko </w:t>
      </w:r>
      <w:r>
        <w:rPr>
          <w:rFonts w:ascii="calibri" w:hAnsi="calibri" w:eastAsia="calibri" w:cs="calibri"/>
          <w:sz w:val="24"/>
          <w:szCs w:val="24"/>
          <w:b/>
        </w:rPr>
        <w:t xml:space="preserve">0,59%. </w:t>
      </w:r>
      <w:r>
        <w:rPr>
          <w:rFonts w:ascii="calibri" w:hAnsi="calibri" w:eastAsia="calibri" w:cs="calibri"/>
          <w:sz w:val="24"/>
          <w:szCs w:val="24"/>
        </w:rPr>
        <w:t xml:space="preserve">Jednak trudno oceniać ich udział w rynku w ten sposób, gdyż wciąż podaż tych pojazdów jest za mała, aby móc ją realnie porównać z pojazdami spalinowymi.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Liczba pojazdów o pojemności do 2.0 l wciąż największa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Wśród ofert sprzedaży zdecydowanie królują pojazdy o pojemności do 2 l. Stanowią one </w:t>
      </w:r>
      <w:r>
        <w:rPr>
          <w:rFonts w:ascii="calibri" w:hAnsi="calibri" w:eastAsia="calibri" w:cs="calibri"/>
          <w:sz w:val="24"/>
          <w:szCs w:val="24"/>
          <w:b/>
        </w:rPr>
        <w:t xml:space="preserve">blisko 70% </w:t>
      </w:r>
      <w:r>
        <w:rPr>
          <w:rFonts w:ascii="calibri" w:hAnsi="calibri" w:eastAsia="calibri" w:cs="calibri"/>
          <w:sz w:val="24"/>
          <w:szCs w:val="24"/>
        </w:rPr>
        <w:t xml:space="preserve">podaży w I kwartale 2019 r.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Najczęściej wyszukujemy pojazdy w wieku 9 - 12 lat, pojazdy w wieku 1 - 3 lata plasują się dopiero na czwartym miejscu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Według Autobaza.pl wśród najczęściej wyszukiwanych roczników pojazdów </w:t>
      </w:r>
      <w:r>
        <w:rPr>
          <w:rFonts w:ascii="calibri" w:hAnsi="calibri" w:eastAsia="calibri" w:cs="calibri"/>
          <w:sz w:val="24"/>
          <w:szCs w:val="24"/>
          <w:b/>
        </w:rPr>
        <w:t xml:space="preserve">prym wiodą te z przedziału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2007 - 2010</w:t>
      </w:r>
      <w:r>
        <w:rPr>
          <w:rFonts w:ascii="calibri" w:hAnsi="calibri" w:eastAsia="calibri" w:cs="calibri"/>
          <w:sz w:val="24"/>
          <w:szCs w:val="24"/>
        </w:rPr>
        <w:t xml:space="preserve">. </w:t>
      </w:r>
      <w:r>
        <w:rPr>
          <w:rFonts w:ascii="calibri" w:hAnsi="calibri" w:eastAsia="calibri" w:cs="calibri"/>
          <w:sz w:val="24"/>
          <w:szCs w:val="24"/>
          <w:b/>
        </w:rPr>
        <w:t xml:space="preserve">Dotyczy ich 26,23% wszystkich zapytań</w:t>
      </w:r>
      <w:r>
        <w:rPr>
          <w:rFonts w:ascii="calibri" w:hAnsi="calibri" w:eastAsia="calibri" w:cs="calibri"/>
          <w:sz w:val="24"/>
          <w:szCs w:val="24"/>
        </w:rPr>
        <w:t xml:space="preserve">. Na drugim miejscu z ilością </w:t>
      </w:r>
      <w:r>
        <w:rPr>
          <w:rFonts w:ascii="calibri" w:hAnsi="calibri" w:eastAsia="calibri" w:cs="calibri"/>
          <w:sz w:val="24"/>
          <w:szCs w:val="24"/>
          <w:b/>
        </w:rPr>
        <w:t xml:space="preserve">23,46%</w:t>
      </w:r>
      <w:r>
        <w:rPr>
          <w:rFonts w:ascii="calibri" w:hAnsi="calibri" w:eastAsia="calibri" w:cs="calibri"/>
          <w:sz w:val="24"/>
          <w:szCs w:val="24"/>
        </w:rPr>
        <w:t xml:space="preserve"> zapytań są roczniki </w:t>
      </w:r>
      <w:r>
        <w:rPr>
          <w:rFonts w:ascii="calibri" w:hAnsi="calibri" w:eastAsia="calibri" w:cs="calibri"/>
          <w:sz w:val="24"/>
          <w:szCs w:val="24"/>
          <w:b/>
        </w:rPr>
        <w:t xml:space="preserve">2011 - 2015.</w:t>
      </w:r>
      <w:r>
        <w:rPr>
          <w:rFonts w:ascii="calibri" w:hAnsi="calibri" w:eastAsia="calibri" w:cs="calibri"/>
          <w:sz w:val="24"/>
          <w:szCs w:val="24"/>
        </w:rPr>
        <w:t xml:space="preserve"> Na trzecim miejscu znalazły się pojazdy z rocznika </w:t>
      </w:r>
      <w:r>
        <w:rPr>
          <w:rFonts w:ascii="calibri" w:hAnsi="calibri" w:eastAsia="calibri" w:cs="calibri"/>
          <w:sz w:val="24"/>
          <w:szCs w:val="24"/>
          <w:b/>
        </w:rPr>
        <w:t xml:space="preserve">2003 - 2006. Dotyczy ich 21,32% zapytań</w:t>
      </w:r>
      <w:r>
        <w:rPr>
          <w:rFonts w:ascii="calibri" w:hAnsi="calibri" w:eastAsia="calibri" w:cs="calibri"/>
          <w:sz w:val="24"/>
          <w:szCs w:val="24"/>
        </w:rPr>
        <w:t xml:space="preserve">. O roczniki stosunkowo najnowsze z przedziału </w:t>
      </w:r>
      <w:r>
        <w:rPr>
          <w:rFonts w:ascii="calibri" w:hAnsi="calibri" w:eastAsia="calibri" w:cs="calibri"/>
          <w:sz w:val="24"/>
          <w:szCs w:val="24"/>
          <w:b/>
        </w:rPr>
        <w:t xml:space="preserve">2016 - 2019 jest już nieco mniej zapytań - bo 16,72 %</w:t>
      </w:r>
      <w:r>
        <w:rPr>
          <w:rFonts w:ascii="calibri" w:hAnsi="calibri" w:eastAsia="calibri" w:cs="calibri"/>
          <w:sz w:val="24"/>
          <w:szCs w:val="24"/>
        </w:rPr>
        <w:t xml:space="preserve">. Taki wynik plasuje ten przedział na czwartym miejscu. Na piątym miejscu znalazły się pojazdy z rocznika </w:t>
      </w:r>
      <w:r>
        <w:rPr>
          <w:rFonts w:ascii="calibri" w:hAnsi="calibri" w:eastAsia="calibri" w:cs="calibri"/>
          <w:sz w:val="24"/>
          <w:szCs w:val="24"/>
          <w:b/>
        </w:rPr>
        <w:t xml:space="preserve">1999 - 2002 z wynikiem 9,07% zapytań</w:t>
      </w:r>
      <w:r>
        <w:rPr>
          <w:rFonts w:ascii="calibri" w:hAnsi="calibri" w:eastAsia="calibri" w:cs="calibri"/>
          <w:sz w:val="24"/>
          <w:szCs w:val="24"/>
        </w:rPr>
        <w:t xml:space="preserve">, a najstarsze pojazdy z rocznika </w:t>
      </w:r>
      <w:r>
        <w:rPr>
          <w:rFonts w:ascii="calibri" w:hAnsi="calibri" w:eastAsia="calibri" w:cs="calibri"/>
          <w:sz w:val="24"/>
          <w:szCs w:val="24"/>
          <w:b/>
        </w:rPr>
        <w:t xml:space="preserve">1990 - 1998 to tylko 2,70%</w:t>
      </w:r>
      <w:r>
        <w:rPr>
          <w:rFonts w:ascii="calibri" w:hAnsi="calibri" w:eastAsia="calibri" w:cs="calibri"/>
          <w:sz w:val="24"/>
          <w:szCs w:val="24"/>
        </w:rPr>
        <w:t xml:space="preserve"> zapytań.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TOP 5 najchętniej wyszukiwanych marek z rocznika 2007 - 2010:</w:t>
      </w:r>
    </w:p>
    <w:p>
      <w:pPr>
        <w:spacing w:before="0" w:after="300"/>
      </w:pPr>
    </w:p>
    <w:p>
      <w:pPr>
        <w:spacing w:before="200" w:after="0"/>
      </w:pPr>
      <w:r>
        <w:rPr>
          <w:rFonts w:ascii="calibri" w:hAnsi="calibri" w:eastAsia="calibri" w:cs="calibri"/>
          <w:sz w:val="24"/>
          <w:szCs w:val="24"/>
        </w:rPr>
        <w:t xml:space="preserve">1. </w:t>
      </w:r>
      <w:r>
        <w:rPr>
          <w:rFonts w:ascii="calibri" w:hAnsi="calibri" w:eastAsia="calibri" w:cs="calibri"/>
          <w:sz w:val="24"/>
          <w:szCs w:val="24"/>
        </w:rPr>
        <w:t xml:space="preserve">OPEL - 12,70 % 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2. </w:t>
      </w:r>
      <w:r>
        <w:rPr>
          <w:rFonts w:ascii="calibri" w:hAnsi="calibri" w:eastAsia="calibri" w:cs="calibri"/>
          <w:sz w:val="24"/>
          <w:szCs w:val="24"/>
        </w:rPr>
        <w:t xml:space="preserve">VOLKSWAGEN - 11,54 % 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3. </w:t>
      </w:r>
      <w:r>
        <w:rPr>
          <w:rFonts w:ascii="calibri" w:hAnsi="calibri" w:eastAsia="calibri" w:cs="calibri"/>
          <w:sz w:val="24"/>
          <w:szCs w:val="24"/>
        </w:rPr>
        <w:t xml:space="preserve">FORD - 11,35 % 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4. </w:t>
      </w:r>
      <w:r>
        <w:rPr>
          <w:rFonts w:ascii="calibri" w:hAnsi="calibri" w:eastAsia="calibri" w:cs="calibri"/>
          <w:sz w:val="24"/>
          <w:szCs w:val="24"/>
        </w:rPr>
        <w:t xml:space="preserve">AUDI - 8,68 % 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5. </w:t>
      </w:r>
      <w:r>
        <w:rPr>
          <w:rFonts w:ascii="calibri" w:hAnsi="calibri" w:eastAsia="calibri" w:cs="calibri"/>
          <w:sz w:val="24"/>
          <w:szCs w:val="24"/>
        </w:rPr>
        <w:t xml:space="preserve">BMW - 8,08 % </w:t>
      </w:r>
    </w:p>
    <w:p/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TOP 5 najchętniej wyszukiwanych marek z rocznika 2011 - 2015:</w:t>
      </w:r>
    </w:p>
    <w:p>
      <w:pPr>
        <w:spacing w:before="0" w:after="300"/>
      </w:pPr>
    </w:p>
    <w:p>
      <w:pPr>
        <w:spacing w:before="200" w:after="0"/>
      </w:pPr>
      <w:r>
        <w:rPr>
          <w:rFonts w:ascii="calibri" w:hAnsi="calibri" w:eastAsia="calibri" w:cs="calibri"/>
          <w:sz w:val="24"/>
          <w:szCs w:val="24"/>
        </w:rPr>
        <w:t xml:space="preserve">1. </w:t>
      </w:r>
      <w:r>
        <w:rPr>
          <w:rFonts w:ascii="calibri" w:hAnsi="calibri" w:eastAsia="calibri" w:cs="calibri"/>
          <w:sz w:val="24"/>
          <w:szCs w:val="24"/>
        </w:rPr>
        <w:t xml:space="preserve">VOLKSWAGEN - 12,20% 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2. </w:t>
      </w:r>
      <w:r>
        <w:rPr>
          <w:rFonts w:ascii="calibri" w:hAnsi="calibri" w:eastAsia="calibri" w:cs="calibri"/>
          <w:sz w:val="24"/>
          <w:szCs w:val="24"/>
        </w:rPr>
        <w:t xml:space="preserve">FORD - 11,38% 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3. </w:t>
      </w:r>
      <w:r>
        <w:rPr>
          <w:rFonts w:ascii="calibri" w:hAnsi="calibri" w:eastAsia="calibri" w:cs="calibri"/>
          <w:sz w:val="24"/>
          <w:szCs w:val="24"/>
        </w:rPr>
        <w:t xml:space="preserve">OPEL - 11,33 % 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4. </w:t>
      </w:r>
      <w:r>
        <w:rPr>
          <w:rFonts w:ascii="calibri" w:hAnsi="calibri" w:eastAsia="calibri" w:cs="calibri"/>
          <w:sz w:val="24"/>
          <w:szCs w:val="24"/>
        </w:rPr>
        <w:t xml:space="preserve">BMW - 8,49 % 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5. </w:t>
      </w:r>
      <w:r>
        <w:rPr>
          <w:rFonts w:ascii="calibri" w:hAnsi="calibri" w:eastAsia="calibri" w:cs="calibri"/>
          <w:sz w:val="24"/>
          <w:szCs w:val="24"/>
        </w:rPr>
        <w:t xml:space="preserve">AUDI - 8, 22 % </w:t>
      </w:r>
    </w:p>
    <w:p/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TOP 5 najchętniej wyszukiwanych marek z rocznika 2003 - 2006:</w:t>
      </w:r>
    </w:p>
    <w:p>
      <w:pPr>
        <w:spacing w:before="0" w:after="300"/>
      </w:pPr>
    </w:p>
    <w:p>
      <w:pPr>
        <w:spacing w:before="200" w:after="0"/>
      </w:pPr>
      <w:r>
        <w:rPr>
          <w:rFonts w:ascii="calibri" w:hAnsi="calibri" w:eastAsia="calibri" w:cs="calibri"/>
          <w:sz w:val="24"/>
          <w:szCs w:val="24"/>
        </w:rPr>
        <w:t xml:space="preserve">1. </w:t>
      </w:r>
      <w:r>
        <w:rPr>
          <w:rFonts w:ascii="calibri" w:hAnsi="calibri" w:eastAsia="calibri" w:cs="calibri"/>
          <w:sz w:val="24"/>
          <w:szCs w:val="24"/>
        </w:rPr>
        <w:t xml:space="preserve">OPEL - 15,72% 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2. </w:t>
      </w:r>
      <w:r>
        <w:rPr>
          <w:rFonts w:ascii="calibri" w:hAnsi="calibri" w:eastAsia="calibri" w:cs="calibri"/>
          <w:sz w:val="24"/>
          <w:szCs w:val="24"/>
        </w:rPr>
        <w:t xml:space="preserve">VOLKSWAGEN - 15,21 % 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3. </w:t>
      </w:r>
      <w:r>
        <w:rPr>
          <w:rFonts w:ascii="calibri" w:hAnsi="calibri" w:eastAsia="calibri" w:cs="calibri"/>
          <w:sz w:val="24"/>
          <w:szCs w:val="24"/>
        </w:rPr>
        <w:t xml:space="preserve">AUDI - 12,40 % 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4. </w:t>
      </w:r>
      <w:r>
        <w:rPr>
          <w:rFonts w:ascii="calibri" w:hAnsi="calibri" w:eastAsia="calibri" w:cs="calibri"/>
          <w:sz w:val="24"/>
          <w:szCs w:val="24"/>
        </w:rPr>
        <w:t xml:space="preserve">BMW - 11,31% 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5. </w:t>
      </w:r>
      <w:r>
        <w:rPr>
          <w:rFonts w:ascii="calibri" w:hAnsi="calibri" w:eastAsia="calibri" w:cs="calibri"/>
          <w:sz w:val="24"/>
          <w:szCs w:val="24"/>
        </w:rPr>
        <w:t xml:space="preserve">RENAULT - 9,99 % </w:t>
      </w:r>
    </w:p>
    <w:p/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TOP 5 najchętniej wyszukiwanych marek z rocznika 2016 - 2019:</w:t>
      </w:r>
    </w:p>
    <w:p>
      <w:pPr>
        <w:spacing w:before="0" w:after="300"/>
      </w:pPr>
    </w:p>
    <w:p>
      <w:pPr>
        <w:spacing w:before="200" w:after="0"/>
      </w:pPr>
      <w:r>
        <w:rPr>
          <w:rFonts w:ascii="calibri" w:hAnsi="calibri" w:eastAsia="calibri" w:cs="calibri"/>
          <w:sz w:val="24"/>
          <w:szCs w:val="24"/>
        </w:rPr>
        <w:t xml:space="preserve">1. </w:t>
      </w:r>
      <w:r>
        <w:rPr>
          <w:rFonts w:ascii="calibri" w:hAnsi="calibri" w:eastAsia="calibri" w:cs="calibri"/>
          <w:sz w:val="24"/>
          <w:szCs w:val="24"/>
        </w:rPr>
        <w:t xml:space="preserve">VOLKSWAGEN - 16,43% 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2. </w:t>
      </w:r>
      <w:r>
        <w:rPr>
          <w:rFonts w:ascii="calibri" w:hAnsi="calibri" w:eastAsia="calibri" w:cs="calibri"/>
          <w:sz w:val="24"/>
          <w:szCs w:val="24"/>
        </w:rPr>
        <w:t xml:space="preserve">FORD - 11,72% 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3. </w:t>
      </w:r>
      <w:r>
        <w:rPr>
          <w:rFonts w:ascii="calibri" w:hAnsi="calibri" w:eastAsia="calibri" w:cs="calibri"/>
          <w:sz w:val="24"/>
          <w:szCs w:val="24"/>
        </w:rPr>
        <w:t xml:space="preserve">SKODA - 11,47% 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4. </w:t>
      </w:r>
      <w:r>
        <w:rPr>
          <w:rFonts w:ascii="calibri" w:hAnsi="calibri" w:eastAsia="calibri" w:cs="calibri"/>
          <w:sz w:val="24"/>
          <w:szCs w:val="24"/>
        </w:rPr>
        <w:t xml:space="preserve">MERCEDES-BENZ - 10,86 % 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5. </w:t>
      </w:r>
      <w:r>
        <w:rPr>
          <w:rFonts w:ascii="calibri" w:hAnsi="calibri" w:eastAsia="calibri" w:cs="calibri"/>
          <w:sz w:val="24"/>
          <w:szCs w:val="24"/>
        </w:rPr>
        <w:t xml:space="preserve">RENAULT 10,74 % </w:t>
      </w:r>
    </w:p>
    <w:p/>
    <w:p>
      <w:pPr>
        <w:spacing w:before="0" w:after="300"/>
      </w:pPr>
    </w:p>
    <w:p/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Dane dotyczą I kwartału 2019 r. rynku pojazdów używanych i zostały opracowane na podstawie informacji posiadanych przez portal Autobaza.pl</w:t>
      </w:r>
    </w:p>
    <w:p>
      <w:pPr>
        <w:spacing w:before="0" w:after="300"/>
      </w:pPr>
    </w:p>
    <w:p/>
    <w:p/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autobaza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2024-04-24T03:18:53+02:00</dcterms:created>
  <dcterms:modified xsi:type="dcterms:W3CDTF">2024-04-24T03:18:53+02:00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