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(nie)Idealne samochody w Polsce. Cała prawda o przeglądach technicznych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3,3% samochodów w Polsce nie przeszło obowiązkowych okresowych badań technicznych – wynika z danych autobaza.pl za I półrocze 2021 r. Taki trend potwierdzają informacje podane przez CEPiK – w całym 2021 r. tylko 2,3% pojazdów nie zostało dopuszczonych do ruchu. Wyniki mogą napawać niepewnością – czy w takim wypadku na polskich drogach porusza się wiele niesprawnych aut? A może jednak dbamy o swoje samochody? Czy plan wprowadzenia nowych przepisów coś w tej kwestii zmieni?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Mamy sprawniejsze samochody niż w Niemczech?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dane w ogólnej bazie CEPiK mówią o przeprowadzeniu w 2021 r. 18 645 953 przeglądów okresowych, z których aż 18 208 873 skończyło się podbitym dowodem rejestracyjnym, co daje pozytywny wynik w 97,7%. Podobnie wygląda to w przypadku danych autobaza.pl z okresu I półrocza 2021 r. – 96,7% samochodów otrzymało pieczątkę uprawniającą do poruszania się po drogach. Dla porównania, w Niemczech co piąty pojazd nie przechodzi za pierwszym razem badania technicznego – mówią dane takich firm jak ADAC, Dekra czy TUV.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film dotyczący tego materiału.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tym kontekście warto wspomnieć, że dane Europejskiego Stowarzyszenia Producentów Pojazdów ACEA mówią jasno – średni niemiecki samochód jest młodszy o 4,5 roku od polskiego auta. Idąc tym tokiem myślenia, to w Polsce powinien być wyższy procent pojazdów, które mają problem z pozytywnym przejściem badania technicznego, a jest na odwrót</w:t>
      </w:r>
      <w:r>
        <w:rPr>
          <w:rFonts w:ascii="calibri" w:hAnsi="calibri" w:eastAsia="calibri" w:cs="calibri"/>
          <w:sz w:val="24"/>
          <w:szCs w:val="24"/>
        </w:rPr>
        <w:t xml:space="preserve"> – mówi Marek Trofimiuk,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Jednym z powodów takiej sytuacji mogą być niezmienione od 2004 roku stawki za badanie technicznie </w:t>
      </w:r>
      <w:r>
        <w:rPr>
          <w:rFonts w:ascii="calibri" w:hAnsi="calibri" w:eastAsia="calibri" w:cs="calibri"/>
          <w:sz w:val="24"/>
          <w:szCs w:val="24"/>
        </w:rPr>
        <w:t xml:space="preserve">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techniczne samochodu osobowego to koszt 99 zł, nieco wyżej jest ono wycenione w przypadku pojazdu z instalacją LPG/CNG – to 162 zł. Co więcej, od 2017 r. za przegląd techniczny płaci się przed wykonaniem badania, a opłata w przypadku negatywnego wyniku nie podlega zwrotowi.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Cena za wykonanie badania jest bardzo niska, co sprawia, że diagności muszą rywalizować o klientów. Nie sprzyja to wzrostowi rygoru podczas badania, a raczej przymykaniem oczu na pewne usterki. Jeżeli diagnostaokaże się zbyt surowy, klient pojedzie do innej stacji, gdzie jego dowód rejestracyjny zostanie uzupełniony o niezbędną pieczątkę</w:t>
      </w:r>
      <w:r>
        <w:rPr>
          <w:rFonts w:ascii="calibri" w:hAnsi="calibri" w:eastAsia="calibri" w:cs="calibri"/>
          <w:sz w:val="24"/>
          <w:szCs w:val="24"/>
        </w:rPr>
        <w:t xml:space="preserve"> – wyjaśnia Marek Trofimiuk,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Takie zjawisko sprzyja dopuszczania do ruchu wielu, nie do końca sprawnych pojazdów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przepisy na horyzoncie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Problemu nie dostrzegają rządzący, którzy nie spieszą się z podwyższaniem stawek za badanie techniczne. Jednak Ministerstwo Infrastruktury planuje wprowadzić nieco inną zmianę, którą mogą odczuć w portfelu „spóźnialscy” kierowcy.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Ministerstwo przygotowało rozporządzenie wyciągające konsekwencję wobec osób, które nie wykonały przeglądu technicznego swojego samochodu miesiąc po upłynięciu jego daty ważności. Po tym czasie, badanie auta kosztować będzie nie 99 zł, a 198 zł. Analogicznie podwoją się opłaty innych pojazdów. Na przykład za sprawdzenie tych z instalacją LPG/CNG cena wzrośnie z 162 zł do 324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Nowe przepisy mają za zadanie zdyscyplinować kierowców, jednak czy wpłynie to na jakość kontroli? Wydaje się, że nie, choć w ten sposób część usterek może zostać szybciej wykryta</w:t>
      </w:r>
      <w:r>
        <w:rPr>
          <w:rFonts w:ascii="calibri" w:hAnsi="calibri" w:eastAsia="calibri" w:cs="calibri"/>
          <w:sz w:val="24"/>
          <w:szCs w:val="24"/>
        </w:rPr>
        <w:t xml:space="preserve"> – podsumowuje Marek Trofimiuk,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Lekceważenie zarówno przeglądów technicznych, jak i tych związanych z upływem roku lub przejechaniem określonej liczby kilometrów, może skutkować poważnymi wadami, które będą miały wpływ na bezpieczeństwo i komfort jazdy. Istotne jest w związku z tym rejestrowanie historii serwisowej aut. Dzięki niej, chcąc sprzedać lub kupić samochód używany wiemy co mu „dolegało”. W naszej firmie nieustannie ją poszerzamy, dodając do naszej bazy coraz więcej danych z przeprowadzonych serwisów. Ostatnio pozyskaliśmy dodatkowe szczegóły z punktów BMW i Mercedesa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9mORMuOwG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2026-04-04T00:42:51+02:00</dcterms:created>
  <dcterms:modified xsi:type="dcterms:W3CDTF">2026-04-04T00:42:51+02:00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