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motoryzacyjny cztery miesiące po rozpoczęciu wojny – analiza ekspertów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komponentów czy surowców wydobywanych w Ukrainie oraz Rosji, a także międzynarodowe sankcje – to tylko część kryzysów spowodowanych wojną. Efekty agresji można zauważyć obecnie w cenach paliwa, co wpływa na rynek samochodów używanych w Polsce. W II kwartale 2022 r., w porównaniu z poprzednim kwartałem, aż o blisko 10% spadła liczba ofert pojazdów z drugiej ręki z napędem na gaz – wynika z danych autobaza.pl. Czy Polacy kupują więcej aut wyposażonych w zbiornik LPG? Jak światowe marki samochodów omijają nałożone sankcje? Problemy i wyzwania rynku moto analizują eksperci autobaza.pl.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paliw i brak półprzewodników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Polska, wśród wszystkich państw w Unii Europejskiej, niezmiennie może „pochwalić się” największym przyrostem ceny paliwa od początku wojny. Od wybuchu konfliktu do końca czwartego tygodnia czerwca benzyna podrożała o 44,7 proc. – wynika z danych EU Weekly oil bulletin. Jednym z efektów takiej sytuacji jest zwiększony popyt na pojazdy z napędem LPG – na rynku jest ich blisko o 10% mniej niż w I kwartale br. – wynika z danych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Wielu Polaków jest już zmęczonych wysoką inflacją czy rekordowymi cenami paliw i nawet wprowadzenie obniżek przez niektóre stacje paliw nie pomaga. Z tego względu szukamy innych rozwiązań. Podobnie jest w przypadku kupna nowych samochodów – klienci muszą czekać nawet ponad rok na swój egzemplarz i nie widać prognoz na zmiany. To z kolei wynika z problemów z dostawami półprzewodników. Z tego względu przewidujemy, że coraz popularniejszy może stać się najem długoterminowy samochodów. W tej usłudze często dostajemy auto od ręki oraz nie mamy aż tak dużego zobowiązania, jakim jest kredyt</w:t>
      </w:r>
      <w:r>
        <w:rPr>
          <w:rFonts w:ascii="calibri" w:hAnsi="calibri" w:eastAsia="calibri" w:cs="calibri"/>
          <w:sz w:val="24"/>
          <w:szCs w:val="24"/>
        </w:rPr>
        <w:t xml:space="preserve"> – mówi Przemysław Gąsiorowski, ekspert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odpowiedniej ilości półprzewodników na rynku to chroniczny problem od początku pandemii, który najprawdopodobniej nie zniknie w 2022 r. Coraz więcej globalnych marek buduje swoje fabryki, aczkolwiek zanim zostaną one ukończone i rozpocznie się produkcja technologicznych komponentów, będzie już rok 2023. Co ciekawe, z danych World Semiconductor Trade Statistics wynika, że wartość rynku półprzewodników wyniesie 646 mld dolarów w 2022 r., co stanowi wzrost o 16,3% r/r.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Wymijane sankcje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konfliktu zbrojnego na Ukrainie był równoznaczny z nałożeniem sankcji gospodarczych na Rosję oraz wyłączeniem jej z globalnego handlu. Do tych działań dołączyły się prywatne podmioty, które masowo wycofywały swoje produkty z kraju agresora. Brały w tym udział także marki motoryzacyjne. Jednak po pierwszych wizerunkowych ruchach, część firm wraca do handlu z Rosją.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Niektóre marki wróciły lub niedługo wrócą do handlu z Rosją. Robią to w prosty sposób – otwierając nowy podmiot, pod nieco zmienionym szyldem lub poprzez „pośrednika”. Na liście Ministerstwa Przemysłu i Handlu znalazły się przedsiębiorstwa, takie jak Apple, Samsung, Nokia, Sony, Siemens, HP, a z branży moto Land Rover, Jeep, Jaguar, Chrysler, Bentley, Cadillac, Tesla, Volvo, Skoda, Toyota, Nissan </w:t>
      </w:r>
      <w:r>
        <w:rPr>
          <w:rFonts w:ascii="calibri" w:hAnsi="calibri" w:eastAsia="calibri" w:cs="calibri"/>
          <w:sz w:val="24"/>
          <w:szCs w:val="24"/>
        </w:rPr>
        <w:t xml:space="preserve">– wyjaśnia Przemysław Gąsiorowski, ekspert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Podobną sytuację można zaobserwować w przypadku marki Renault, która oficjalnie wycofała się z Rosji, ale ma możliwość do niej wrócić. Z informacji agencji Reuters wynika, że Renault Russia i AvtoVAZ zostały sprzedane za „symbolicznego rubla”. Faktem jest, że 100% udziałów w Renault Russia odsprzedano na rzecz miasta Moskwa, z kolei 67,69% udziałów w spółce AvtoVAZ – na rzecz NAMI (Centralny Instytut Badawczo-Rozwojowy Pojazdów i Silników). Jednak w tym drugim przypadku Grupa Renault będzie mogła odkupić udziały w ciągu najbliższych sześciu lat, co oznacza, że marka pozostawiła sobie możliwość powrotu na rynek rosyjski.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2026-07-26T12:00:47+02:00</dcterms:created>
  <dcterms:modified xsi:type="dcterms:W3CDTF">2026-07-26T12:00:47+02:00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