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trudniej będzie odsprzedać diesla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obrazują trend, od którego nie ma odwrotu. Podaż pojazdów z silnikiem diesla znowu spadła i obecnie utrzymuje się na poziomie 44%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Diesel powoli staje się coraz mniej popularny i co do tego nie ma wątpliwości. Obrazują to dane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podsumowujące I półrocze 2020 na rynku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w zeszłym roku, w I kwartale jego podaż wynosiła 48,10%, to obecnie utrzymuje się na poziomie 44% wszystkich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pojazdów z silnikiem benzynowym kształtuje się obecnie na poziomie 48,81%, co w stosunku do I kwartału 2019 jest niewielkim wzrostem z poziomu 45,40%.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Podaż pojazdów z silnikami benzyna + LPG, utrzymuje się na tym samym poziomie co na początku 2019 roku i wynosi 5,8%.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oferowanych na rynku wtórnym aut hybrydowych wzrosła dwa razy, a elektrycznych 2,5 razy i wynosi odpowiednio 1,16% i 0,18%.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prawda ich udział w rynku jest w dalszym ciągu znikomy, jednak widać wyraźnie wzrost ofert w tych dwóch segmentach, co może świadczyć o wzroście zainteresowania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popularyzowania się tych dwóch typów pojazdów, ich udział na rynku wtórnym będzie wzrastał. Pierwszy widoczny skok prawdopodobnie nastąpi za 2 lata, kiedy będzie można sprzedawać pojazdy elektryczne zakupione ze wsparciem z Funduszu Niskoemisyjnego Transportu.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szkód dla niektórych marek przekroczył ponad 40%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marek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największym odsetkiem odnotowanych szkód należą SKODA - aż 47%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pojazdów oferowanych na sprzedaż na rynku wtórnym miało odnotowaną szkodę,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TOYOTA - 44% i MINI - 42%.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 5 najbardziej popularnych marek wystawianych na sprzedaż, do których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</w:t>
      </w:r>
      <w:r>
        <w:rPr>
          <w:rFonts w:ascii="calibri" w:hAnsi="calibri" w:eastAsia="calibri" w:cs="calibri"/>
          <w:sz w:val="24"/>
          <w:szCs w:val="24"/>
        </w:rPr>
        <w:t xml:space="preserve">9,45%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</w:t>
      </w:r>
      <w:r>
        <w:rPr>
          <w:rFonts w:ascii="calibri" w:hAnsi="calibri" w:eastAsia="calibri" w:cs="calibri"/>
          <w:sz w:val="24"/>
          <w:szCs w:val="24"/>
        </w:rPr>
        <w:t xml:space="preserve">8,17%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</w:t>
      </w:r>
      <w:r>
        <w:rPr>
          <w:rFonts w:ascii="calibri" w:hAnsi="calibri" w:eastAsia="calibri" w:cs="calibri"/>
          <w:sz w:val="24"/>
          <w:szCs w:val="24"/>
        </w:rPr>
        <w:t xml:space="preserve">7,42%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AUDI - </w:t>
      </w:r>
      <w:r>
        <w:rPr>
          <w:rFonts w:ascii="calibri" w:hAnsi="calibri" w:eastAsia="calibri" w:cs="calibri"/>
          <w:sz w:val="24"/>
          <w:szCs w:val="24"/>
        </w:rPr>
        <w:t xml:space="preserve">6,87%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- </w:t>
      </w:r>
      <w:r>
        <w:rPr>
          <w:rFonts w:ascii="calibri" w:hAnsi="calibri" w:eastAsia="calibri" w:cs="calibri"/>
          <w:sz w:val="24"/>
          <w:szCs w:val="24"/>
        </w:rPr>
        <w:t xml:space="preserve">6,81%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szkód oscyluje pomiędzy 32 - 36% i wynosi odpowiednio: 34% dla pojazdów marki VOLKSWAGEN; 32% dla pojazdów marki OPEL; 36% dla marki FORD, 33% dla AUDI i 35% dla pojazdów marki RENAULT.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5px; height:5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Ogólnie szkody dotyczą już 36% wszystkich oferowanych na sprzedaż aut.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autobaza.pl największy udział w podaży osobowych aut na rynku wtórnym mają 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Opel Astra, Audi A4 i Volkswagen Golf.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pojazdów o pojemności do 2.0 l wciąż największa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pojazdów o pojemności powyżej 2 l. spadł o 5 pkt procentowych. Na koniec 2019 roku ich udział w ofertach sprzedaży wynosił 26,57%, natomiast obecnie wynosi 21,12%.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w segmencie pojazdów z większą pojemnością przełożył się na większe ilości pojazdów z mniejszą pojemnością silnika. W przedziale 100 - 999 cm3. odnotowano wzrost o 1 pkt procentowy, a w najbardziej popularnym zakresie, tj. 1000 - 1999 cm3 nastąpił wzrost o 4 pkt. procentowe.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oczekiwania i możliwości finansowe klientów uległy zmianie w wyniku pandemii, co obrazuje spadek udziału pojazdów o największej pojemności silnika. Są to kolejne dane autobaza.pl wskazujące na wzrost zainteresowania na rynku wtórnym tańszymi pojazdami.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5px; height:50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Zwyżka ofert na pojazdy z przebiegiem do 100 tys. km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na auta używane znajdziemy z przebiegiem między 200 a 300 tys. km i powyżej 300 tys. km. Ich udział w rynku wynosi odpowiednio 31,99% i 29,19%.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2019 roku udział ofert na auta z przebiegiem 200 - 300 tys. km kształtował się na poziomie 35,54%. Dla pojazdów z przebiegiem powyżej 300 tys. km było to 27,82%. Czyli obecnie nieznacznie wzrósł.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“Porównując dane do I kwartału 2019 r - jeszcze sprzed obowiązywania przepisu o karze więzienia za cofanie licznika, nie nastąpił gwałtowny wzrost ofert pojazdów z większym przebiegiem</w:t>
      </w:r>
      <w:r>
        <w:rPr>
          <w:rFonts w:ascii="calibri" w:hAnsi="calibri" w:eastAsia="calibri" w:cs="calibri"/>
          <w:sz w:val="24"/>
          <w:szCs w:val="24"/>
        </w:rPr>
        <w:t xml:space="preserve">.” - mówi Marek Trofimiuk ekspert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5px; height:4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można zauważyć spadek ofert na pojazdy z przebiegiem 150 - 200 tys. km. Z 28,46% w I kw. 2019 ich udział spadł do 24,81% obecnie. Być może jest to efekt wprowadzenia kary za cofanie licznika w Polsce i kontroli drogowych z odczytem stanu licznika? Czyżby spowodowały one przeniesienie tych aut do ofert z przebiegiem powyżej 300 tys. km?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Zauważalny jest wzrost ofert na pojazdy z przebiegiem do 100 tys. km. Ich łączny wzrost wynosi prawie 5 pkt. procentowych. Prawdopodobnie to efekt pojawienia się na rynku ofert na auta w leasingu, których właściciele chcieli się pozbyć w wyniku pandemii.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 półrocza 2020 r. rynku pojazdów używanych i zostały opracowane na podstawie informacji posiadanych przez portal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Autobaza.pl to wiarygodne źródło informacji o pojazdach używanych.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2026-02-27T18:05:29+01:00</dcterms:created>
  <dcterms:modified xsi:type="dcterms:W3CDTF">2026-02-27T18:05:29+01:00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