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Wszyscy zapłacimy za neutralność klimatyczną w 2050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autobaza ostrzegają: nastąpi znaczny wzrost kosztów użytkowania samochodów spalinowych, co doprowadzi do zmniejszenia całkowitej liczby pojazdów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trend dążenia za wszelką cenę do bezemisyjnej gospodarki w 2050 r. jest bardzo silny i wymusza ograniczenie emisji CO2 na takich poziomach, iż Polska nie będzie w stanie temu sprostać bez zdecydowanych zmian.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skutki tych zmian dadzą się odczuć przede wszystkim w rolnictwie, budownictwie, ale też i w transporcie osobowym.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Polski Ład bardzo oględnie traktuje emisje CO2 i można znaleźć tam lakoniczne stwierdzenie dotyczące poprawy jakości powietrza dzięki inwestycjom i programom wspierających obywateli...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jak uważa Piotr Korab członek zarządu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“Mamy już wyznaczony kierunek zmian, tylko niekoniecznie rząd chce o tym otwarcie mówić…”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Dowodem na to są daleko idące analizy np. w ramach projektu LIFE Climate CAKE 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Dotyczą one różnych scenariuszy wprowadzania redukcji emisji CO2 i oddziaływania środowiskowego tychże zmian.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scenariusz ProETSeq obejmujący opłaty zależne od emisji dwutlenku węgla uwzględnione w cenie zakupu paliw przewiduje </w:t>
      </w:r>
      <w:r>
        <w:rPr>
          <w:rFonts w:ascii="calibri" w:hAnsi="calibri" w:eastAsia="calibri" w:cs="calibri"/>
          <w:sz w:val="24"/>
          <w:szCs w:val="24"/>
        </w:rPr>
        <w:t xml:space="preserve">wprowadzenie podatku związanego z emisją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Nie będzie to niczym nowym w skali UE, gdyż już 21 na 27 państw członkowskich UE nałożyło na samochody osobowe opodatkowanie emisji CO2. Dotyczy to np. Francji, Holandii, Belgii czy Austrii.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wielkie będą te opłaty w Polsce na razie nie wiadomo, ale wystarczy wspomnieć, że cena za tonę emisji w tym scenariuszu rośnie aż do 350 EUR w 2050 r. Obecnie jest na poziomie ok. 50 EUR za tonę, co oznacza jej siedmiokrotny wzrost do 2050 r. Najprawdopodobniej więc podatek od emisji będzie rósł razem z cenami za prawa do emisji CO2.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Centrum Analiz Klimatyczno-Energetycznych wykonało i przedstawiło nową analizę “Polska net-zero 2050”, która stanowi mapę drogową osiągnięcia wspólnotowych celów polityki klimatycznej dla Polski do 2050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Najłagodniejszy scenariusz REF przewiduje wzrost kosztów użytkowania samochodów spalinowych o 10-15% do 2050 roku. Jednak pozostałe scenariusze nie są już tak łagodne i przewidują wzrost kosztów użytkowania aut spalinowych o 30-50% do 2050 roku (scenariusz NEU). Koszty te uwzględniają koszt paliwa, utrzymania i zakupu auta.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też wykazują spadek kosztów użytkowania aut elektrycznych o ok. 20% ze względu na coraz niższe koszty wytwarzania tych aut oraz brak dodatkowych opłat związanych z emisjami CO2.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słowem czeka nas prawdziwa rewolucja. Wg autorów projektu do 2050 roku udział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Polsce, w zależności od wdrażanego scenariusza będzie wynosił od ok. 5 mln. do 13- 14 mln sztuk, co oznacza potężny skok biorąc pod uwagę, iż obecnie jest ich nieco ponad 14 tys. sztuk. Natomiast auta spalinowe stanowić będą ok. 5 mln.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analityków autobazy jednak niekoniecznie. Ze względu na ogromne koszty tej transformacji, wiele gospodarstw domowych będzie musiało zrezygnować z posiadania auta na własność.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rzesza spalinówek zostanie porzucona ze względu na wysokie koszty użytkowania, a potem z uwagi na zakazy ich sprzedaży w UE - uważa Piotr Korab członek zarządu autobaza.pl. Nie wszyscy użytkownicy spalinówek przesiądą się na auta elektryczne.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prognozowana w różnych scenariuszach liczba aut elektrycznych może być całkowitą liczbą aut osobowych w Polsce…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 wyraźnie, iż wysiłki władz zmierzają do transformacji sposobu poruszania się po aglomeracjach miejskich z naciskiem na przestawienie się na transport zbiorowy.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czeka nas sukcesywne zmniejszanie liczby miejsc parkingowych, zawężanie dróg oraz ustanowienie Stref Czystego Transportu, które w przyszłości doprowadzą do zakazu wjazdu aut spalinowych do centrów miast lub nawet do całych aglomeracji...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?utm_medium=article&amp;amp;amp;utm_source=pap&amp;amp;amp;utm_campaign=pr-1-10-2021&amp;amp;amp;utm_term=domain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autobaza.pl/page/elektromobilnosc/?utm_medium=article&amp;amp;amp;utm_source=pap&amp;amp;amp;utm_campaign=pr-1-10-2021&amp;amp;amp;utm_term=aut-elektrycznych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2025-12-28T11:39:24+01:00</dcterms:created>
  <dcterms:modified xsi:type="dcterms:W3CDTF">2025-12-28T11:39:24+01:00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